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A6C" w:rsidRPr="003A6A6C" w:rsidRDefault="003A6A6C" w:rsidP="003A6A6C">
      <w:pPr>
        <w:pStyle w:val="NormalWeb"/>
        <w:jc w:val="both"/>
        <w:rPr>
          <w:rFonts w:ascii="Montserrat" w:hAnsi="Montserrat"/>
          <w:lang w:val="es-ES"/>
        </w:rPr>
      </w:pPr>
      <w:r w:rsidRPr="003A6A6C">
        <w:rPr>
          <w:rFonts w:ascii="Montserrat" w:hAnsi="Montserrat"/>
          <w:lang w:val="es-ES"/>
        </w:rPr>
        <w:t xml:space="preserve">Este informe técnico detalla el procedimiento completo seguido durante la auditoría documental realizada para el equipo de diagnóstico del Plan de Ordenamiento Territorial de Armenia, Quindío. El análisis sistematizó un total de </w:t>
      </w:r>
      <w:r>
        <w:rPr>
          <w:rFonts w:ascii="Montserrat" w:hAnsi="Montserrat"/>
          <w:lang w:val="es-ES"/>
        </w:rPr>
        <w:t>cuarenta y tres (43)</w:t>
      </w:r>
      <w:r w:rsidRPr="003A6A6C">
        <w:rPr>
          <w:rFonts w:ascii="Montserrat" w:hAnsi="Montserrat"/>
          <w:lang w:val="es-ES"/>
        </w:rPr>
        <w:t xml:space="preserve"> documentos estratégicos, transformando información técnica heterogénea en una estructura coherente de soporte para la política de espacio público. El objetivo central consistió en dotar al diagnóstico de una base argumentativa sólida, blindada técnica, jurídica y ambientalmente ante los diversos actores del territorio.</w:t>
      </w:r>
    </w:p>
    <w:p w:rsidR="003A6A6C" w:rsidRPr="003A6A6C" w:rsidRDefault="003A6A6C" w:rsidP="003A6A6C">
      <w:pPr>
        <w:pStyle w:val="NormalWeb"/>
        <w:numPr>
          <w:ilvl w:val="0"/>
          <w:numId w:val="1"/>
        </w:numPr>
        <w:jc w:val="both"/>
        <w:rPr>
          <w:rFonts w:ascii="Montserrat" w:hAnsi="Montserrat"/>
          <w:lang w:val="es-ES"/>
        </w:rPr>
      </w:pPr>
      <w:r w:rsidRPr="003A6A6C">
        <w:rPr>
          <w:rFonts w:ascii="Montserrat" w:hAnsi="Montserrat"/>
          <w:lang w:val="es-ES"/>
        </w:rPr>
        <w:t>METODOLOGÍA PROCEDIMENTAL DE AUDITORÍA Y ANÁLISIS</w:t>
      </w:r>
    </w:p>
    <w:p w:rsidR="003A6A6C" w:rsidRPr="003A6A6C" w:rsidRDefault="003A6A6C" w:rsidP="003A6A6C">
      <w:pPr>
        <w:pStyle w:val="NormalWeb"/>
        <w:jc w:val="both"/>
        <w:rPr>
          <w:rFonts w:ascii="Montserrat" w:hAnsi="Montserrat"/>
          <w:lang w:val="es-ES"/>
        </w:rPr>
      </w:pPr>
      <w:r w:rsidRPr="003A6A6C">
        <w:rPr>
          <w:rFonts w:ascii="Montserrat" w:hAnsi="Montserrat"/>
          <w:lang w:val="es-ES"/>
        </w:rPr>
        <w:t>El proceso de trabajo se desarrolló mediante una metodología de articulación transversal, diseñada para extraer la utilidad operativa de cada documento. Esta metodología se dividió en cuatro etapas críticas que garantizaron el rigor técnico del diagnóstico.</w:t>
      </w:r>
    </w:p>
    <w:p w:rsidR="003A6A6C" w:rsidRPr="003A6A6C" w:rsidRDefault="003A6A6C" w:rsidP="003A6A6C">
      <w:pPr>
        <w:pStyle w:val="NormalWeb"/>
        <w:jc w:val="both"/>
        <w:rPr>
          <w:rFonts w:ascii="Montserrat" w:hAnsi="Montserrat"/>
          <w:lang w:val="es-ES"/>
        </w:rPr>
      </w:pPr>
      <w:r w:rsidRPr="003A6A6C">
        <w:rPr>
          <w:rFonts w:ascii="Montserrat" w:hAnsi="Montserrat"/>
          <w:lang w:val="es-ES"/>
        </w:rPr>
        <w:t xml:space="preserve">La primera etapa consistió en la ingesta y validación de fuentes. Se procesaron </w:t>
      </w:r>
      <w:r>
        <w:rPr>
          <w:rFonts w:ascii="Montserrat" w:hAnsi="Montserrat"/>
          <w:lang w:val="es-ES"/>
        </w:rPr>
        <w:t>cuarenta y tres (43)</w:t>
      </w:r>
      <w:r w:rsidRPr="003A6A6C">
        <w:rPr>
          <w:rFonts w:ascii="Montserrat" w:hAnsi="Montserrat"/>
          <w:lang w:val="es-ES"/>
        </w:rPr>
        <w:t xml:space="preserve"> documentos de naturaleza jurídica, ambiental, técnica y estadística. Cada archivo se sometió a una evaluación para determinar su jerarquía como determinante de superior jerarquía o como estudio base de apoyo, asegurando que solo la información con peso normativo o científico fuera integrada.</w:t>
      </w:r>
    </w:p>
    <w:p w:rsidR="003A6A6C" w:rsidRPr="003A6A6C" w:rsidRDefault="003A6A6C" w:rsidP="003A6A6C">
      <w:pPr>
        <w:pStyle w:val="NormalWeb"/>
        <w:jc w:val="both"/>
        <w:rPr>
          <w:rFonts w:ascii="Montserrat" w:hAnsi="Montserrat"/>
          <w:lang w:val="es-ES"/>
        </w:rPr>
      </w:pPr>
      <w:r w:rsidRPr="003A6A6C">
        <w:rPr>
          <w:rFonts w:ascii="Montserrat" w:hAnsi="Montserrat"/>
          <w:lang w:val="es-ES"/>
        </w:rPr>
        <w:t>La segunda etapa se centró en la extracción funcional a través de la creación de fichas de articulación. En esta fase, el análisis no se enfocó en el documento como un todo, sino que aisló específicamente la variable del espacio público. Se determinó cómo cada documento influye en la configuración, calidad, conectividad, financiación o sostenibilidad del sistema de parques y áreas libres de la ciudad.</w:t>
      </w:r>
    </w:p>
    <w:p w:rsidR="003A6A6C" w:rsidRPr="003A6A6C" w:rsidRDefault="003A6A6C" w:rsidP="003A6A6C">
      <w:pPr>
        <w:pStyle w:val="NormalWeb"/>
        <w:jc w:val="both"/>
        <w:rPr>
          <w:rFonts w:ascii="Montserrat" w:hAnsi="Montserrat"/>
          <w:lang w:val="es-ES"/>
        </w:rPr>
      </w:pPr>
      <w:r w:rsidRPr="003A6A6C">
        <w:rPr>
          <w:rFonts w:ascii="Montserrat" w:hAnsi="Montserrat"/>
          <w:lang w:val="es-ES"/>
        </w:rPr>
        <w:t xml:space="preserve">La tercera etapa ejecutó la correlación interinstitucional. Se identificaron las dependencias responsables, como la Corporación Autónoma Regional del Quindío, Empresas Públicas de Armenia, la Secretaría de Planeación y la Agencia de Desarrollo </w:t>
      </w:r>
      <w:proofErr w:type="spellStart"/>
      <w:r w:rsidRPr="003A6A6C">
        <w:rPr>
          <w:rFonts w:ascii="Montserrat" w:hAnsi="Montserrat"/>
          <w:lang w:val="es-ES"/>
        </w:rPr>
        <w:t>Findeter</w:t>
      </w:r>
      <w:proofErr w:type="spellEnd"/>
      <w:r w:rsidRPr="003A6A6C">
        <w:rPr>
          <w:rFonts w:ascii="Montserrat" w:hAnsi="Montserrat"/>
          <w:lang w:val="es-ES"/>
        </w:rPr>
        <w:t>. Este ejercicio permitió entender quién debe ejecutar las acciones derivadas del Plan de Ordenamiento Territorial y bajo qué instrumentos legales.</w:t>
      </w:r>
    </w:p>
    <w:p w:rsidR="003A6A6C" w:rsidRPr="003A6A6C" w:rsidRDefault="003A6A6C" w:rsidP="003A6A6C">
      <w:pPr>
        <w:pStyle w:val="NormalWeb"/>
        <w:jc w:val="both"/>
        <w:rPr>
          <w:rFonts w:ascii="Montserrat" w:hAnsi="Montserrat"/>
          <w:lang w:val="es-ES"/>
        </w:rPr>
      </w:pPr>
      <w:r w:rsidRPr="003A6A6C">
        <w:rPr>
          <w:rFonts w:ascii="Montserrat" w:hAnsi="Montserrat"/>
          <w:lang w:val="es-ES"/>
        </w:rPr>
        <w:t>La cuarta etapa consistió en la síntesis prospectiva. Los hallazgos se integraron en un discurso unificado que permite defender ante el gobierno municipal que el espacio público no constituye un elemento de ornato, sino que representa el sistema operativo básico para el funcionamiento de la ciudad.</w:t>
      </w:r>
    </w:p>
    <w:p w:rsidR="003A6A6C" w:rsidRPr="003A6A6C" w:rsidRDefault="003A6A6C" w:rsidP="003A6A6C">
      <w:pPr>
        <w:pStyle w:val="NormalWeb"/>
        <w:numPr>
          <w:ilvl w:val="0"/>
          <w:numId w:val="2"/>
        </w:numPr>
        <w:jc w:val="both"/>
        <w:rPr>
          <w:rFonts w:ascii="Montserrat" w:hAnsi="Montserrat"/>
        </w:rPr>
      </w:pPr>
      <w:r w:rsidRPr="003A6A6C">
        <w:rPr>
          <w:rFonts w:ascii="Montserrat" w:hAnsi="Montserrat"/>
        </w:rPr>
        <w:t>CATEGORIZACIÓN DEL EXPEDIENTE TÉCNICO</w:t>
      </w:r>
    </w:p>
    <w:p w:rsidR="003A6A6C" w:rsidRPr="003A6A6C" w:rsidRDefault="003A6A6C" w:rsidP="003A6A6C">
      <w:pPr>
        <w:pStyle w:val="NormalWeb"/>
        <w:jc w:val="both"/>
        <w:rPr>
          <w:rFonts w:ascii="Montserrat" w:hAnsi="Montserrat"/>
          <w:lang w:val="es-ES"/>
        </w:rPr>
      </w:pPr>
      <w:r w:rsidRPr="003A6A6C">
        <w:rPr>
          <w:rFonts w:ascii="Montserrat" w:hAnsi="Montserrat"/>
          <w:lang w:val="es-ES"/>
        </w:rPr>
        <w:lastRenderedPageBreak/>
        <w:t>El análisis se organizó en cinco bloques fundamentales que definen la viabilidad técnica del espacio público en el territorio municipal.</w:t>
      </w:r>
    </w:p>
    <w:p w:rsidR="003A6A6C" w:rsidRPr="003A6A6C" w:rsidRDefault="003A6A6C" w:rsidP="003A6A6C">
      <w:pPr>
        <w:pStyle w:val="NormalWeb"/>
        <w:jc w:val="both"/>
        <w:rPr>
          <w:rFonts w:ascii="Montserrat" w:hAnsi="Montserrat"/>
          <w:lang w:val="es-ES"/>
        </w:rPr>
      </w:pPr>
      <w:r w:rsidRPr="003A6A6C">
        <w:rPr>
          <w:rFonts w:ascii="Montserrat" w:hAnsi="Montserrat"/>
          <w:lang w:val="es-ES"/>
        </w:rPr>
        <w:t>Bloque Estratégico y Normativo Este bloque incluyó el Plan de Ordenamiento Territorial vigente, el componente urbano de 1998, el Modelo de Ocupación Departamental y los estudios técnicos del Departamento Nacional de Planeación. Estos documentos establecen las reglas de juego para la ocupación del territorio. El Modelo de Ocupación Departamental destaca como pieza central al introducir la compra de edificabilidad y la figura de la otorga onerosa. Este enfoque cambia el paradigma histórico de la ciudad, eliminando la práctica de regalar la norma urbanística y exigiendo que cada metro cuadrado de construcción adicional financie la creación de zonas verdes y malla vial. El Plan de Ordenamiento Territorial original, por su parte, aporta la jerarquía de la Red de Redes, concepto que ahora se actualiza con las directrices nacionales de ordenamiento alrededor del agua.</w:t>
      </w:r>
    </w:p>
    <w:p w:rsidR="003A6A6C" w:rsidRPr="003A6A6C" w:rsidRDefault="003A6A6C" w:rsidP="003A6A6C">
      <w:pPr>
        <w:pStyle w:val="NormalWeb"/>
        <w:jc w:val="both"/>
        <w:rPr>
          <w:rFonts w:ascii="Montserrat" w:hAnsi="Montserrat"/>
          <w:lang w:val="es-ES"/>
        </w:rPr>
      </w:pPr>
      <w:r w:rsidRPr="003A6A6C">
        <w:rPr>
          <w:rFonts w:ascii="Montserrat" w:hAnsi="Montserrat"/>
          <w:lang w:val="es-ES"/>
        </w:rPr>
        <w:t xml:space="preserve">Bloque Ambiental, Hídrico y de Cuencas Este bloque integró el Plan de Ordenamiento y Manejo de la Cuenca del Río La Vieja, el Plan de Manejo de la </w:t>
      </w:r>
      <w:proofErr w:type="spellStart"/>
      <w:r w:rsidRPr="003A6A6C">
        <w:rPr>
          <w:rFonts w:ascii="Montserrat" w:hAnsi="Montserrat"/>
          <w:lang w:val="es-ES"/>
        </w:rPr>
        <w:t>Subcuenca</w:t>
      </w:r>
      <w:proofErr w:type="spellEnd"/>
      <w:r w:rsidRPr="003A6A6C">
        <w:rPr>
          <w:rFonts w:ascii="Montserrat" w:hAnsi="Montserrat"/>
          <w:lang w:val="es-ES"/>
        </w:rPr>
        <w:t xml:space="preserve"> del Río Quindío, el Plan de Gestión Ambiental Regional, el balance hídrico de 2024 y el Plan de Saneamiento y Manejo de Vertimientos. Estos instrumentos dictan los límites físicos de la intervención urbana. El Plan de Ordenamiento y Manejo de Cuenca funciona como una restricción infranqueable para el desarrollo convencional. Si el terreno presenta riesgos o carece de disponibilidad hídrica, la ocupación no es viable. El Plan de Saneamiento y Manejo de Vertimientos resulta vital porque la descontaminación de las quebradas constituye el requisito previo para habilitar parques lineales seguros. Sin la eliminación de los vertidos, cualquier proyecto de espacio público en los bordes de quebrada está destinado al fracaso sanitario.</w:t>
      </w:r>
    </w:p>
    <w:p w:rsidR="003A6A6C" w:rsidRPr="003A6A6C" w:rsidRDefault="003A6A6C" w:rsidP="003A6A6C">
      <w:pPr>
        <w:pStyle w:val="NormalWeb"/>
        <w:jc w:val="both"/>
        <w:rPr>
          <w:rFonts w:ascii="Montserrat" w:hAnsi="Montserrat"/>
          <w:lang w:val="es-ES"/>
        </w:rPr>
      </w:pPr>
      <w:r w:rsidRPr="003A6A6C">
        <w:rPr>
          <w:rFonts w:ascii="Montserrat" w:hAnsi="Montserrat"/>
          <w:lang w:val="es-ES"/>
        </w:rPr>
        <w:t xml:space="preserve">Bloque de Resiliencia y Cambio Climático El análisis incorporó los estudios de mitigación, los estudios de amenazas, vulnerabilidad y riesgos elaborados por </w:t>
      </w:r>
      <w:proofErr w:type="spellStart"/>
      <w:r w:rsidRPr="003A6A6C">
        <w:rPr>
          <w:rFonts w:ascii="Montserrat" w:hAnsi="Montserrat"/>
          <w:lang w:val="es-ES"/>
        </w:rPr>
        <w:t>Findeter</w:t>
      </w:r>
      <w:proofErr w:type="spellEnd"/>
      <w:r w:rsidRPr="003A6A6C">
        <w:rPr>
          <w:rFonts w:ascii="Montserrat" w:hAnsi="Montserrat"/>
          <w:lang w:val="es-ES"/>
        </w:rPr>
        <w:t xml:space="preserve"> e IDOM, los escenarios de crecimiento urbano y el Plan Integral de Gestión de Cambio Climático Territorial. Estos documentos definen la seguridad territorial y la prospectiva de la ciudad. Los estudios de riesgos de </w:t>
      </w:r>
      <w:proofErr w:type="spellStart"/>
      <w:r w:rsidRPr="003A6A6C">
        <w:rPr>
          <w:rFonts w:ascii="Montserrat" w:hAnsi="Montserrat"/>
          <w:lang w:val="es-ES"/>
        </w:rPr>
        <w:t>Findeter</w:t>
      </w:r>
      <w:proofErr w:type="spellEnd"/>
      <w:r w:rsidRPr="003A6A6C">
        <w:rPr>
          <w:rFonts w:ascii="Montserrat" w:hAnsi="Montserrat"/>
          <w:lang w:val="es-ES"/>
        </w:rPr>
        <w:t xml:space="preserve"> e IDOM clasifican el territorio según su nivel de amenaza, lo cual permite identificar zonas que no deben ser urbanizadas, sino transformadas en parques de amortiguación. El estudio de mitigación propone el espacio público como una herramienta de </w:t>
      </w:r>
      <w:proofErr w:type="spellStart"/>
      <w:r w:rsidRPr="003A6A6C">
        <w:rPr>
          <w:rFonts w:ascii="Montserrat" w:hAnsi="Montserrat"/>
          <w:lang w:val="es-ES"/>
        </w:rPr>
        <w:t>descarbonización</w:t>
      </w:r>
      <w:proofErr w:type="spellEnd"/>
      <w:r w:rsidRPr="003A6A6C">
        <w:rPr>
          <w:rFonts w:ascii="Montserrat" w:hAnsi="Montserrat"/>
          <w:lang w:val="es-ES"/>
        </w:rPr>
        <w:t>, donde la reforestación urbana y la movilidad activa actúan como sumideros de carbono y estrategias de enfriamiento contra las islas de calor.</w:t>
      </w:r>
    </w:p>
    <w:p w:rsidR="003A6A6C" w:rsidRPr="003A6A6C" w:rsidRDefault="003A6A6C" w:rsidP="003A6A6C">
      <w:pPr>
        <w:pStyle w:val="NormalWeb"/>
        <w:jc w:val="both"/>
        <w:rPr>
          <w:rFonts w:ascii="Montserrat" w:hAnsi="Montserrat"/>
          <w:lang w:val="es-ES"/>
        </w:rPr>
      </w:pPr>
      <w:r w:rsidRPr="003A6A6C">
        <w:rPr>
          <w:rFonts w:ascii="Montserrat" w:hAnsi="Montserrat"/>
          <w:lang w:val="es-ES"/>
        </w:rPr>
        <w:t xml:space="preserve">Bloque de Infraestructura, Movilidad y Operación Este bloque abarcó el Plan Maestro de Movilidad Sostenible, el Plan Municipal de Gestión Integral de </w:t>
      </w:r>
      <w:r w:rsidRPr="003A6A6C">
        <w:rPr>
          <w:rFonts w:ascii="Montserrat" w:hAnsi="Montserrat"/>
          <w:lang w:val="es-ES"/>
        </w:rPr>
        <w:lastRenderedPageBreak/>
        <w:t>Residuos Sólidos, el estudio de caracterización de residuos y la Estrategia Municipal para la Respuesta a Emergencias. Estos documentos definen la operatividad y la calidad cotidiana del espacio público. El Plan Maestro de Movilidad 2024 justifica la redistribución del perfil vial, argumentando que el espacio cedido al vehículo privado debe retornar al peatón a través de urbanismo táctico. La gestión de residuos, descrita en el Plan Municipal de Gestión Integral de Residuos Sólidos, es fundamental para la estética urbana; el estudio de caracterización permite diseñar mobiliario especializado que evita la saturación de los parques y la dispersión de basuras en las áreas comunes. La Estrategia Municipal para la Respuesta a Emergencias es el documento que convierte a las plazas y parques en nodos logísticos de refugio ante sismos, estableciendo criterios técnicos de accesibilidad para su diseño.</w:t>
      </w:r>
    </w:p>
    <w:p w:rsidR="003A6A6C" w:rsidRPr="003A6A6C" w:rsidRDefault="003A6A6C" w:rsidP="003A6A6C">
      <w:pPr>
        <w:pStyle w:val="NormalWeb"/>
        <w:jc w:val="both"/>
        <w:rPr>
          <w:rFonts w:ascii="Montserrat" w:hAnsi="Montserrat"/>
          <w:lang w:val="es-ES"/>
        </w:rPr>
      </w:pPr>
      <w:r w:rsidRPr="003A6A6C">
        <w:rPr>
          <w:rFonts w:ascii="Montserrat" w:hAnsi="Montserrat"/>
          <w:lang w:val="es-ES"/>
        </w:rPr>
        <w:t>Bloque de Biota, Paisaje e Identidad Finalmente, este bloque integró el Plan de Manejo del Paisaje Cultural Cafetero, el Censo de Árboles y Zonas Verdes, el estudio de caracterización de árboles, arbustos y palmas, y el Manual del Árbol Urbano. Estos documentos otorgan el valor agregado al sistema de espacios públicos. El Plan de Manejo del Paisaje Cultural Cafetero impone la protección de las vistas hacia el campo, evitando que el desarrollo urbano obstruya la relación visual con el entorno rural. El Manual del Árbol Urbano y los estudios de caracterización biótica proveen la herramienta técnica necesaria para que la siembra sea sostenible. Se evita así el daño a andenes por raíces o la interferencia con redes eléctricas, asegurando que la infraestructura verde crezca de manera armónica con la infraestructura gris.</w:t>
      </w:r>
    </w:p>
    <w:p w:rsidR="003A6A6C" w:rsidRPr="003A6A6C" w:rsidRDefault="003A6A6C" w:rsidP="003A6A6C">
      <w:pPr>
        <w:pStyle w:val="NormalWeb"/>
        <w:numPr>
          <w:ilvl w:val="0"/>
          <w:numId w:val="3"/>
        </w:numPr>
        <w:jc w:val="both"/>
        <w:rPr>
          <w:rFonts w:ascii="Montserrat" w:hAnsi="Montserrat"/>
          <w:lang w:val="es-ES"/>
        </w:rPr>
      </w:pPr>
      <w:r w:rsidRPr="003A6A6C">
        <w:rPr>
          <w:rFonts w:ascii="Montserrat" w:hAnsi="Montserrat"/>
          <w:lang w:val="es-ES"/>
        </w:rPr>
        <w:t>SÍNTESIS ARGUMENTATIVA PARA LA FORMULACIÓN DEL PLAN</w:t>
      </w:r>
    </w:p>
    <w:p w:rsidR="003A6A6C" w:rsidRPr="003A6A6C" w:rsidRDefault="003A6A6C" w:rsidP="003A6A6C">
      <w:pPr>
        <w:pStyle w:val="NormalWeb"/>
        <w:jc w:val="both"/>
        <w:rPr>
          <w:rFonts w:ascii="Montserrat" w:hAnsi="Montserrat"/>
          <w:lang w:val="es-ES"/>
        </w:rPr>
      </w:pPr>
      <w:r w:rsidRPr="003A6A6C">
        <w:rPr>
          <w:rFonts w:ascii="Montserrat" w:hAnsi="Montserrat"/>
          <w:lang w:val="es-ES"/>
        </w:rPr>
        <w:t>Para la defensa del diagnóstico ante las instancias gubernamentales, el análisis proporciona argumentos técnicos unificados.</w:t>
      </w:r>
    </w:p>
    <w:p w:rsidR="003A6A6C" w:rsidRPr="003A6A6C" w:rsidRDefault="003A6A6C" w:rsidP="003A6A6C">
      <w:pPr>
        <w:pStyle w:val="NormalWeb"/>
        <w:jc w:val="both"/>
        <w:rPr>
          <w:rFonts w:ascii="Montserrat" w:hAnsi="Montserrat"/>
          <w:lang w:val="es-ES"/>
        </w:rPr>
      </w:pPr>
      <w:r w:rsidRPr="003A6A6C">
        <w:rPr>
          <w:rFonts w:ascii="Montserrat" w:hAnsi="Montserrat"/>
          <w:lang w:val="es-ES"/>
        </w:rPr>
        <w:t>Sobre la ampliación de andenes, el argumento se fundamenta en la convergencia del Plan Maestro de Movilidad, el diagnóstico del Departamento Administrativo Nacional de Estadística y los estudios de mitigación climática. La pirámide de movilidad actual exige una segregación segura. Además, el análisis del Departamento Administrativo Nacional de Estadística demuestra que las unidades económicas móviles presionan las vías principales; por tanto, ampliar los andenes no constituye una medida estética, sino una organización necesaria para la economía popular y la reducción de la temperatura urbana.</w:t>
      </w:r>
    </w:p>
    <w:p w:rsidR="003A6A6C" w:rsidRPr="003A6A6C" w:rsidRDefault="003A6A6C" w:rsidP="003A6A6C">
      <w:pPr>
        <w:pStyle w:val="NormalWeb"/>
        <w:jc w:val="both"/>
        <w:rPr>
          <w:rFonts w:ascii="Montserrat" w:hAnsi="Montserrat"/>
          <w:lang w:val="es-ES"/>
        </w:rPr>
      </w:pPr>
      <w:r w:rsidRPr="003A6A6C">
        <w:rPr>
          <w:rFonts w:ascii="Montserrat" w:hAnsi="Montserrat"/>
          <w:lang w:val="es-ES"/>
        </w:rPr>
        <w:t xml:space="preserve">Sobre la financiación de infraestructura, la articulación entre el Modelo de Ocupación Departamental y el Plan de Ordenamiento Territorial permite sostener la implementación de plusvalías. El derecho a edificar en altura debe comprarse, y ese flujo de caja debe ser reinvertido en parques lineales dentro </w:t>
      </w:r>
      <w:r w:rsidRPr="003A6A6C">
        <w:rPr>
          <w:rFonts w:ascii="Montserrat" w:hAnsi="Montserrat"/>
          <w:lang w:val="es-ES"/>
        </w:rPr>
        <w:lastRenderedPageBreak/>
        <w:t>de la misma zona de influencia. Este mecanismo elimina la práctica de otorgar beneficios urbanísticos sin contraprestaciones sociales.</w:t>
      </w:r>
    </w:p>
    <w:p w:rsidR="003A6A6C" w:rsidRPr="003A6A6C" w:rsidRDefault="003A6A6C" w:rsidP="003A6A6C">
      <w:pPr>
        <w:pStyle w:val="NormalWeb"/>
        <w:jc w:val="both"/>
        <w:rPr>
          <w:rFonts w:ascii="Montserrat" w:hAnsi="Montserrat"/>
          <w:lang w:val="es-ES"/>
        </w:rPr>
      </w:pPr>
      <w:r w:rsidRPr="003A6A6C">
        <w:rPr>
          <w:rFonts w:ascii="Montserrat" w:hAnsi="Montserrat"/>
          <w:lang w:val="es-ES"/>
        </w:rPr>
        <w:t xml:space="preserve">Sobre la gestión de áreas de riesgo, el argumento se apoya en los estudios de </w:t>
      </w:r>
      <w:proofErr w:type="spellStart"/>
      <w:r w:rsidRPr="003A6A6C">
        <w:rPr>
          <w:rFonts w:ascii="Montserrat" w:hAnsi="Montserrat"/>
          <w:lang w:val="es-ES"/>
        </w:rPr>
        <w:t>Findeter</w:t>
      </w:r>
      <w:proofErr w:type="spellEnd"/>
      <w:r w:rsidRPr="003A6A6C">
        <w:rPr>
          <w:rFonts w:ascii="Montserrat" w:hAnsi="Montserrat"/>
          <w:lang w:val="es-ES"/>
        </w:rPr>
        <w:t xml:space="preserve"> y el Plan de Ordenamiento y Manejo de Cuenca. La no urbanización de cañadas no responde a una falta de interés en el desarrollo, sino a una estrategia de resiliencia. Las cañadas deben funcionar como el sistema circulatorio de la ciudad a través de corredores de biodiversidad. Su urbanización incrementa los costos de mantenimiento y los riesgos de desastre, mientras que su transformación en parques lineales mejora el valor del suelo aledaño y garantiza la seguridad futura.</w:t>
      </w:r>
    </w:p>
    <w:p w:rsidR="003A6A6C" w:rsidRPr="003A6A6C" w:rsidRDefault="003A6A6C" w:rsidP="003A6A6C">
      <w:pPr>
        <w:pStyle w:val="animating"/>
        <w:jc w:val="both"/>
        <w:rPr>
          <w:rFonts w:ascii="Montserrat" w:hAnsi="Montserrat"/>
          <w:lang w:val="es-ES"/>
        </w:rPr>
      </w:pPr>
      <w:r w:rsidRPr="003A6A6C">
        <w:rPr>
          <w:rFonts w:ascii="Montserrat" w:hAnsi="Montserrat"/>
          <w:lang w:val="es-ES"/>
        </w:rPr>
        <w:t xml:space="preserve">Sobre el mantenimiento preventivo, el argumento integra el Plan Municipal de Gestión Integral de Residuos Sólidos, el Manual del Árbol y el Plan de Saneamiento. La sostenibilidad de los parques depende de la gestión sanitaria, eliminando vertimientos en quebradas y aplicando protocolos </w:t>
      </w:r>
      <w:proofErr w:type="spellStart"/>
      <w:r w:rsidRPr="003A6A6C">
        <w:rPr>
          <w:rFonts w:ascii="Montserrat" w:hAnsi="Montserrat"/>
          <w:lang w:val="es-ES"/>
        </w:rPr>
        <w:t>silviculturales</w:t>
      </w:r>
      <w:proofErr w:type="spellEnd"/>
      <w:r w:rsidRPr="003A6A6C">
        <w:rPr>
          <w:rFonts w:ascii="Montserrat" w:hAnsi="Montserrat"/>
          <w:lang w:val="es-ES"/>
        </w:rPr>
        <w:t xml:space="preserve"> certificados. El diagnóstico identifica que la mayoría de los puntos críticos de degradación se ubican en zonas de espacio público desatendido; la solución radica en la dotación de mobiliario especializado y un plan de manejo forestal preventivo.</w:t>
      </w:r>
    </w:p>
    <w:p w:rsidR="003A6A6C" w:rsidRPr="003A6A6C" w:rsidRDefault="003A6A6C" w:rsidP="003A6A6C">
      <w:pPr>
        <w:pStyle w:val="NormalWeb"/>
        <w:numPr>
          <w:ilvl w:val="0"/>
          <w:numId w:val="4"/>
        </w:numPr>
        <w:jc w:val="both"/>
        <w:rPr>
          <w:rFonts w:ascii="Montserrat" w:hAnsi="Montserrat"/>
          <w:lang w:val="es-ES"/>
        </w:rPr>
      </w:pPr>
      <w:r w:rsidRPr="003A6A6C">
        <w:rPr>
          <w:rFonts w:ascii="Montserrat" w:hAnsi="Montserrat"/>
          <w:lang w:val="es-ES"/>
        </w:rPr>
        <w:t>HOJA DE RUTA PROYECTUAL PARA EL DIAGNÓSTICO</w:t>
      </w:r>
    </w:p>
    <w:p w:rsidR="003A6A6C" w:rsidRPr="003A6A6C" w:rsidRDefault="003A6A6C" w:rsidP="003A6A6C">
      <w:pPr>
        <w:pStyle w:val="NormalWeb"/>
        <w:jc w:val="both"/>
        <w:rPr>
          <w:rFonts w:ascii="Montserrat" w:hAnsi="Montserrat"/>
          <w:lang w:val="es-ES"/>
        </w:rPr>
      </w:pPr>
      <w:r w:rsidRPr="003A6A6C">
        <w:rPr>
          <w:rFonts w:ascii="Montserrat" w:hAnsi="Montserrat"/>
          <w:lang w:val="es-ES"/>
        </w:rPr>
        <w:t>El proceso de auditoría documental ha concluido con éxito, dejando una base técnica sin precedentes. La hoja de ruta para la siguiente fase del Plan de Ordenamiento Territorial debe priorizar tres frentes de acción basados en los hallazgos.</w:t>
      </w:r>
    </w:p>
    <w:p w:rsidR="003A6A6C" w:rsidRPr="003A6A6C" w:rsidRDefault="003A6A6C" w:rsidP="003A6A6C">
      <w:pPr>
        <w:pStyle w:val="NormalWeb"/>
        <w:jc w:val="both"/>
        <w:rPr>
          <w:rFonts w:ascii="Montserrat" w:hAnsi="Montserrat"/>
        </w:rPr>
      </w:pPr>
      <w:r w:rsidRPr="003A6A6C">
        <w:rPr>
          <w:rFonts w:ascii="Montserrat" w:hAnsi="Montserrat"/>
          <w:lang w:val="es-ES"/>
        </w:rPr>
        <w:t xml:space="preserve">En primer lugar, la identificación de zonas críticas mediante el cruce de variables. El equipo de diagnóstico debe sobreponer los datos del Departamento Administrativo Nacional de Estadística, que señalan alta densidad poblacional con carencia de áreas verdes, con los mapas de riesgos del estudio de </w:t>
      </w:r>
      <w:proofErr w:type="spellStart"/>
      <w:r w:rsidRPr="003A6A6C">
        <w:rPr>
          <w:rFonts w:ascii="Montserrat" w:hAnsi="Montserrat"/>
          <w:lang w:val="es-ES"/>
        </w:rPr>
        <w:t>Findeter</w:t>
      </w:r>
      <w:proofErr w:type="spellEnd"/>
      <w:r w:rsidRPr="003A6A6C">
        <w:rPr>
          <w:rFonts w:ascii="Montserrat" w:hAnsi="Montserrat"/>
          <w:lang w:val="es-ES"/>
        </w:rPr>
        <w:t xml:space="preserve"> e IDOM. </w:t>
      </w:r>
      <w:proofErr w:type="spellStart"/>
      <w:r w:rsidRPr="003A6A6C">
        <w:rPr>
          <w:rFonts w:ascii="Montserrat" w:hAnsi="Montserrat"/>
        </w:rPr>
        <w:t>Estas</w:t>
      </w:r>
      <w:proofErr w:type="spellEnd"/>
      <w:r w:rsidRPr="003A6A6C">
        <w:rPr>
          <w:rFonts w:ascii="Montserrat" w:hAnsi="Montserrat"/>
        </w:rPr>
        <w:t xml:space="preserve"> zonas </w:t>
      </w:r>
      <w:proofErr w:type="spellStart"/>
      <w:r w:rsidRPr="003A6A6C">
        <w:rPr>
          <w:rFonts w:ascii="Montserrat" w:hAnsi="Montserrat"/>
        </w:rPr>
        <w:t>representan</w:t>
      </w:r>
      <w:proofErr w:type="spellEnd"/>
      <w:r w:rsidRPr="003A6A6C">
        <w:rPr>
          <w:rFonts w:ascii="Montserrat" w:hAnsi="Montserrat"/>
        </w:rPr>
        <w:t xml:space="preserve"> las </w:t>
      </w:r>
      <w:proofErr w:type="spellStart"/>
      <w:r w:rsidRPr="003A6A6C">
        <w:rPr>
          <w:rFonts w:ascii="Montserrat" w:hAnsi="Montserrat"/>
        </w:rPr>
        <w:t>prioridades</w:t>
      </w:r>
      <w:proofErr w:type="spellEnd"/>
      <w:r w:rsidRPr="003A6A6C">
        <w:rPr>
          <w:rFonts w:ascii="Montserrat" w:hAnsi="Montserrat"/>
        </w:rPr>
        <w:t xml:space="preserve"> </w:t>
      </w:r>
      <w:proofErr w:type="spellStart"/>
      <w:r w:rsidRPr="003A6A6C">
        <w:rPr>
          <w:rFonts w:ascii="Montserrat" w:hAnsi="Montserrat"/>
        </w:rPr>
        <w:t>absolutas</w:t>
      </w:r>
      <w:proofErr w:type="spellEnd"/>
      <w:r w:rsidRPr="003A6A6C">
        <w:rPr>
          <w:rFonts w:ascii="Montserrat" w:hAnsi="Montserrat"/>
        </w:rPr>
        <w:t xml:space="preserve"> de </w:t>
      </w:r>
      <w:proofErr w:type="spellStart"/>
      <w:r w:rsidRPr="003A6A6C">
        <w:rPr>
          <w:rFonts w:ascii="Montserrat" w:hAnsi="Montserrat"/>
        </w:rPr>
        <w:t>intervención</w:t>
      </w:r>
      <w:proofErr w:type="spellEnd"/>
      <w:r w:rsidRPr="003A6A6C">
        <w:rPr>
          <w:rFonts w:ascii="Montserrat" w:hAnsi="Montserrat"/>
        </w:rPr>
        <w:t>.</w:t>
      </w:r>
    </w:p>
    <w:p w:rsidR="003A6A6C" w:rsidRPr="003A6A6C" w:rsidRDefault="003A6A6C" w:rsidP="003A6A6C">
      <w:pPr>
        <w:pStyle w:val="NormalWeb"/>
        <w:jc w:val="both"/>
        <w:rPr>
          <w:rFonts w:ascii="Montserrat" w:hAnsi="Montserrat"/>
          <w:lang w:val="es-ES"/>
        </w:rPr>
      </w:pPr>
      <w:r w:rsidRPr="003A6A6C">
        <w:rPr>
          <w:rFonts w:ascii="Montserrat" w:hAnsi="Montserrat"/>
          <w:lang w:val="es-ES"/>
        </w:rPr>
        <w:t>En segundo lugar, la ejecución del plan de conectividad hídrica. Utilizando el Plan de Ordenamiento y Manejo de Cuenca y el Plan de Saneamiento, se debe trazar el sistema de parques lineales. Esta estrategia representa el método más eficiente para ganar metros cuadrados de espacio público efectivo, al convertir áreas de protección ambiental en escenarios de uso recreativo.</w:t>
      </w:r>
    </w:p>
    <w:p w:rsidR="003A6A6C" w:rsidRPr="003A6A6C" w:rsidRDefault="003A6A6C" w:rsidP="003A6A6C">
      <w:pPr>
        <w:pStyle w:val="NormalWeb"/>
        <w:jc w:val="both"/>
        <w:rPr>
          <w:rFonts w:ascii="Montserrat" w:hAnsi="Montserrat"/>
          <w:lang w:val="es-ES"/>
        </w:rPr>
      </w:pPr>
      <w:r w:rsidRPr="003A6A6C">
        <w:rPr>
          <w:rFonts w:ascii="Montserrat" w:hAnsi="Montserrat"/>
          <w:lang w:val="es-ES"/>
        </w:rPr>
        <w:t xml:space="preserve">En tercer lugar, la consolidación del proyecto estratégico denominado Capital Verde. La integración del censo arbóreo, el estudio de especies y el manual del árbol debe orientar un plan de reforestación urbana vinculado directamente </w:t>
      </w:r>
      <w:r w:rsidRPr="003A6A6C">
        <w:rPr>
          <w:rFonts w:ascii="Montserrat" w:hAnsi="Montserrat"/>
          <w:lang w:val="es-ES"/>
        </w:rPr>
        <w:lastRenderedPageBreak/>
        <w:t>con la mitigación del cambio climático. Esta vinculación permite acceder a fondos internacionales de sostenibilidad, tal como lo sugieren los documentos de gestión del cambio climático.</w:t>
      </w:r>
    </w:p>
    <w:p w:rsidR="003A6A6C" w:rsidRPr="003A6A6C" w:rsidRDefault="003A6A6C" w:rsidP="003A6A6C">
      <w:pPr>
        <w:pStyle w:val="NormalWeb"/>
        <w:numPr>
          <w:ilvl w:val="0"/>
          <w:numId w:val="5"/>
        </w:numPr>
        <w:jc w:val="both"/>
        <w:rPr>
          <w:rFonts w:ascii="Montserrat" w:hAnsi="Montserrat"/>
        </w:rPr>
      </w:pPr>
      <w:r w:rsidRPr="003A6A6C">
        <w:rPr>
          <w:rFonts w:ascii="Montserrat" w:hAnsi="Montserrat"/>
        </w:rPr>
        <w:t>CONCLUSIÓN DEL PROCESO</w:t>
      </w:r>
    </w:p>
    <w:p w:rsidR="003A6A6C" w:rsidRPr="003A6A6C" w:rsidRDefault="003A6A6C" w:rsidP="003A6A6C">
      <w:pPr>
        <w:pStyle w:val="NormalWeb"/>
        <w:jc w:val="both"/>
        <w:rPr>
          <w:rFonts w:ascii="Montserrat" w:hAnsi="Montserrat"/>
          <w:lang w:val="es-ES"/>
        </w:rPr>
      </w:pPr>
      <w:r w:rsidRPr="003A6A6C">
        <w:rPr>
          <w:rFonts w:ascii="Montserrat" w:hAnsi="Montserrat"/>
          <w:lang w:val="es-ES"/>
        </w:rPr>
        <w:t xml:space="preserve">El análisis de estos </w:t>
      </w:r>
      <w:r>
        <w:rPr>
          <w:rFonts w:ascii="Montserrat" w:hAnsi="Montserrat"/>
          <w:lang w:val="es-ES"/>
        </w:rPr>
        <w:t>cuarenta y tres (43)</w:t>
      </w:r>
      <w:r w:rsidRPr="003A6A6C">
        <w:rPr>
          <w:rFonts w:ascii="Montserrat" w:hAnsi="Montserrat"/>
          <w:lang w:val="es-ES"/>
        </w:rPr>
        <w:t xml:space="preserve"> documentos ha permitido pasar de un diagnóstico subjetivo a uno objetivo y blindado técnicamente. El equipo de planeación cuenta ahora con la trazabilidad necesaria para demostrar que el espacio público no constituye un elemento decorativo, sino un sistema esencial para la supervivencia ambiental, la seguridad ante desastres y el desarrollo económico del municipio.</w:t>
      </w:r>
    </w:p>
    <w:p w:rsidR="003A6A6C" w:rsidRPr="003A6A6C" w:rsidRDefault="003A6A6C" w:rsidP="003A6A6C">
      <w:pPr>
        <w:pStyle w:val="NormalWeb"/>
        <w:jc w:val="both"/>
        <w:rPr>
          <w:rFonts w:ascii="Montserrat" w:hAnsi="Montserrat"/>
          <w:lang w:val="es-ES"/>
        </w:rPr>
      </w:pPr>
      <w:r w:rsidRPr="003A6A6C">
        <w:rPr>
          <w:rFonts w:ascii="Montserrat" w:hAnsi="Montserrat"/>
          <w:lang w:val="es-ES"/>
        </w:rPr>
        <w:t xml:space="preserve">Se ha cumplido el objetivo de sistematizar la información técnica para que la propuesta del nuevo Plan de Ordenamiento Territorial no se base en opiniones, sino en mandatos hídricos, directrices de gestión de riesgos, metas de </w:t>
      </w:r>
      <w:proofErr w:type="spellStart"/>
      <w:r w:rsidRPr="003A6A6C">
        <w:rPr>
          <w:rFonts w:ascii="Montserrat" w:hAnsi="Montserrat"/>
          <w:lang w:val="es-ES"/>
        </w:rPr>
        <w:t>descarbonización</w:t>
      </w:r>
      <w:proofErr w:type="spellEnd"/>
      <w:r w:rsidRPr="003A6A6C">
        <w:rPr>
          <w:rFonts w:ascii="Montserrat" w:hAnsi="Montserrat"/>
          <w:lang w:val="es-ES"/>
        </w:rPr>
        <w:t xml:space="preserve"> e identidad patrimonial. El expediente documental resultante constituye el principal activo estratégico para defender la visión de ciudad durante las fases de concertación y consulta del Plan de Ordenamiento Territorial. La estructura de este diagnóstico</w:t>
      </w:r>
      <w:r>
        <w:rPr>
          <w:rFonts w:ascii="Montserrat" w:hAnsi="Montserrat"/>
          <w:lang w:val="es-ES"/>
        </w:rPr>
        <w:t xml:space="preserve"> </w:t>
      </w:r>
      <w:bookmarkStart w:id="0" w:name="_GoBack"/>
      <w:bookmarkEnd w:id="0"/>
      <w:r>
        <w:rPr>
          <w:rFonts w:ascii="Montserrat" w:hAnsi="Montserrat"/>
          <w:lang w:val="es-ES"/>
        </w:rPr>
        <w:t xml:space="preserve">permite </w:t>
      </w:r>
      <w:r w:rsidRPr="003A6A6C">
        <w:rPr>
          <w:rFonts w:ascii="Montserrat" w:hAnsi="Montserrat"/>
          <w:lang w:val="es-ES"/>
        </w:rPr>
        <w:t>avanzar</w:t>
      </w:r>
      <w:r w:rsidRPr="003A6A6C">
        <w:rPr>
          <w:rFonts w:ascii="Montserrat" w:hAnsi="Montserrat"/>
          <w:lang w:val="es-ES"/>
        </w:rPr>
        <w:t xml:space="preserve"> con total solidez hacia la formulación de las políticas públicas y las estrategias de intervención física necesarias para la transformación del espacio público en Armenia.</w:t>
      </w:r>
    </w:p>
    <w:p w:rsidR="00306F40" w:rsidRPr="003A6A6C" w:rsidRDefault="00306F40" w:rsidP="003A6A6C">
      <w:pPr>
        <w:jc w:val="both"/>
        <w:rPr>
          <w:rFonts w:ascii="Montserrat" w:hAnsi="Montserrat"/>
        </w:rPr>
      </w:pPr>
    </w:p>
    <w:sectPr w:rsidR="00306F40" w:rsidRPr="003A6A6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07B"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B4850"/>
    <w:multiLevelType w:val="multilevel"/>
    <w:tmpl w:val="E05E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BEF70DB"/>
    <w:multiLevelType w:val="multilevel"/>
    <w:tmpl w:val="B3E83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478789C"/>
    <w:multiLevelType w:val="multilevel"/>
    <w:tmpl w:val="9D9E1F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DCB2CBC"/>
    <w:multiLevelType w:val="multilevel"/>
    <w:tmpl w:val="D994AD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9E663E2"/>
    <w:multiLevelType w:val="multilevel"/>
    <w:tmpl w:val="56CC4C6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A6C"/>
    <w:rsid w:val="00306F40"/>
    <w:rsid w:val="0035304D"/>
    <w:rsid w:val="003A6A6C"/>
    <w:rsid w:val="005A58F3"/>
    <w:rsid w:val="00BA156F"/>
    <w:rsid w:val="00E25F25"/>
    <w:rsid w:val="00E850FD"/>
    <w:rsid w:val="00F915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AE12F"/>
  <w15:chartTrackingRefBased/>
  <w15:docId w15:val="{7D555AB4-C806-41BF-995B-98EB4AE91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3A6A6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animating">
    <w:name w:val="animating"/>
    <w:basedOn w:val="Normal"/>
    <w:rsid w:val="003A6A6C"/>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057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1779</Words>
  <Characters>10141</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CASINO REY DE LA SUERTE</dc:creator>
  <cp:keywords/>
  <dc:description/>
  <cp:lastModifiedBy>CASINO REY DE LA SUERTE</cp:lastModifiedBy>
  <cp:revision>1</cp:revision>
  <dcterms:created xsi:type="dcterms:W3CDTF">2026-04-23T20:34:00Z</dcterms:created>
  <dcterms:modified xsi:type="dcterms:W3CDTF">2026-04-23T20:39:00Z</dcterms:modified>
</cp:coreProperties>
</file>